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2" w:rsidRPr="00496638" w:rsidRDefault="005E13F2" w:rsidP="005E13F2">
      <w:pPr>
        <w:shd w:val="clear" w:color="auto" w:fill="FFFFFF"/>
        <w:spacing w:after="0" w:line="270" w:lineRule="atLeast"/>
        <w:jc w:val="center"/>
        <w:outlineLvl w:val="2"/>
        <w:rPr>
          <w:rFonts w:ascii="Helvetica" w:eastAsia="Times New Roman" w:hAnsi="Helvetica" w:cs="Helvetica"/>
          <w:b/>
          <w:bCs/>
          <w:color w:val="281D48"/>
          <w:sz w:val="27"/>
          <w:szCs w:val="27"/>
          <w:lang w:eastAsia="ru-RU"/>
        </w:rPr>
      </w:pPr>
      <w:r w:rsidRPr="005E13F2">
        <w:rPr>
          <w:rFonts w:ascii="Helvetica" w:eastAsia="Times New Roman" w:hAnsi="Helvetica" w:cs="Helvetica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t>Методические рекомендации</w:t>
      </w:r>
      <w:r w:rsidRPr="005E13F2">
        <w:rPr>
          <w:rFonts w:ascii="Helvetica" w:eastAsia="Times New Roman" w:hAnsi="Helvetica" w:cs="Helvetica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br/>
        <w:t xml:space="preserve">по вопросам противодействия терроризму и экстремизму в </w:t>
      </w:r>
      <w:r w:rsidR="00496638" w:rsidRPr="00496638">
        <w:rPr>
          <w:rFonts w:ascii="Helvetica" w:eastAsia="Times New Roman" w:hAnsi="Helvetica" w:cs="Helvetica"/>
          <w:b/>
          <w:color w:val="0000CD"/>
          <w:sz w:val="27"/>
          <w:szCs w:val="27"/>
          <w:lang w:eastAsia="ru-RU"/>
        </w:rPr>
        <w:t>МОУ "СОШ№5" г. Всеволожска</w:t>
      </w:r>
      <w:r w:rsidR="00496638" w:rsidRPr="00496638">
        <w:rPr>
          <w:rFonts w:ascii="Helvetica" w:eastAsia="Times New Roman" w:hAnsi="Helvetica" w:cs="Helvetica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      Молодежная среда в силу своих социальных характеристик и</w:t>
      </w:r>
      <w:bookmarkStart w:id="0" w:name="_GoBack"/>
      <w:bookmarkEnd w:id="0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В последнее время наблюдается усиление экстремистских проявлений в молодёжной среде. Многие из них происходят на межнациональной почве. 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целях профилактики экстремизма и формирования межнационального согласия педагогическим коллективам рекомендуется: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1. Повысить роль подростковых общественных объединений в жизни школы, степень их влияния на процессы в образовательной среде;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2. Организовать в образовательных учреждениях факультативные курсы по изучению законодательства в сфере противодействия экстремизму и терроризму, создать стенды </w:t>
      </w:r>
      <w:proofErr w:type="spell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антиэкстремистской</w:t>
      </w:r>
      <w:proofErr w:type="spell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и антитеррористической направленности в учебных заведениях, активнее привлекать органы правопорядка к работе среди школьников;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3. Организовать мониторинг учебных программ и пособий с целью выявления материалов, направленных на разжигание межнациональных конфликтов;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4. Установить одним из критериев качества воспитательной работы количественный показатель, отражающий зависимость ее состояния от числа обучающихся (воспитанников), привлеченных к уголовной и, в отдельных случаях, к административной ответственности;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5. Разработать и реализовать с участием родительской общественности комплекс мероприятий по развитию межнационального диалога и интернационализма среди подростков, включая создание клубов интернациональной дружбы;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6. Повысить качество преподавания вопросов межнационального общения и интернационального воспитания в гуманитарных дисциплинах;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7. 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обучающихся (воспитанников) о социальной опасности преступлений террористического и экстремистского характера;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8. Уделять больше внимания вопросам адаптации и интеграции детей и подростков из субъектов Российской Федерации Северо-Кавказского региона, а также бывших союзных республик.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    Особое внимание при изучении обществознания и ОБЖ стоит уделить правовым основам противодействия терроризму и экстремизму.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      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      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lastRenderedPageBreak/>
        <w:t>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    Уголовная ответственность предусмотрена за совершение противоправных деяний террористической и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;с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;с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татья 150 – вовлечение несовершеннолетнего в совершение преступления; </w:t>
      </w: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Статья 205терроризм; 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статья 244 – надругательство над телами умерших и местами их 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статья 336 – оскорбление военнослужащего; статья 357 – геноцид). </w:t>
      </w: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При этом стоит довести до сведения обучающихся, что уголовная ответственность за ряд перечисленных преступлений, в том числе терроризм, наступает с 14 лет.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    Руководство мероприятиями по противодействию терроризму и экстремизму осуществляет руководитель образовательного учреждения. Для организации практических действий и работы с документами по этим вопросам решением руководителя назначается, один из сотрудников образовательного учреждения, обладающий опытом руководящей работы, (при наличии должности - заместитель директора по обеспечению безопасности), а также лицо его дублирующее (он же его помощник).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 xml:space="preserve">В более крупных коллективах создается антитеррористическая группа (4-5 человек из постоянных работников), возглавляемая заместителем директора  по обеспечению безопасности. Члены группы назначаются с таким расчетом, чтобы были, охвачены все направления антитеррористической и </w:t>
      </w:r>
      <w:proofErr w:type="spell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антиэкстремистской</w:t>
      </w:r>
      <w:proofErr w:type="spell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деятельности.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     Планирование работы в образовательном учреждении по вопросам противодействия терроризму и экстремизму 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осуществляется на учебный год с поквартальным делением. 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В план работы включаются: совещания по вопросам противодействия терроризму и экстремизму, инструктажи и тренировки, практические мероприятия, по выполнению решений антитеррористической комиссии Департамента образования и антитеррористической рабочей группы СОУО, мероприятия по осуществлению контроля и оказания помощи руководителям  структурных подразделений и сотрудникам, работа по подготовке методических материалов, разработке инструкций и памяток, планов проведения тренировок, учений, и. др..</w:t>
      </w:r>
      <w:proofErr w:type="gramEnd"/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    Руководитель образовательного учреждения утверждает </w:t>
      </w: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систему работы по противодействию экстремизму и терроризму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, которая включает в себя: периодичность проведения совещаний, инструктажей; периодичность контроля за выполнением основных мероприятий, в образовательном учреждении; организацию взаимодействия с ОВД, УФСБ, управлением по САО ГУ МЧС России по г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.М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оскве, родительской общественностью и мероприятия, проводимые вместе с ними; сроки проведения различных культурно-спортивных и других массовых мероприятий, мероприятия по обеспечению безопасности и условия их проведения; 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lastRenderedPageBreak/>
        <w:t>доклады о выполненных мероприятиях в вышестоящие инстанции, сроки представления информации и докладов комиссии по противодействию экстремизму и терроризму Северного окружного управления образования.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</w:t>
      </w:r>
    </w:p>
    <w:p w:rsidR="00313316" w:rsidRDefault="00313316"/>
    <w:sectPr w:rsidR="00313316" w:rsidSect="00B6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3F2"/>
    <w:rsid w:val="00313316"/>
    <w:rsid w:val="003862FE"/>
    <w:rsid w:val="00496638"/>
    <w:rsid w:val="005E13F2"/>
    <w:rsid w:val="00B6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E0"/>
  </w:style>
  <w:style w:type="paragraph" w:styleId="3">
    <w:name w:val="heading 3"/>
    <w:basedOn w:val="a"/>
    <w:link w:val="30"/>
    <w:uiPriority w:val="9"/>
    <w:qFormat/>
    <w:rsid w:val="005E1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13F2"/>
    <w:rPr>
      <w:b/>
      <w:bCs/>
    </w:rPr>
  </w:style>
  <w:style w:type="paragraph" w:styleId="a4">
    <w:name w:val="Normal (Web)"/>
    <w:basedOn w:val="a"/>
    <w:uiPriority w:val="99"/>
    <w:semiHidden/>
    <w:unhideWhenUsed/>
    <w:rsid w:val="005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13F2"/>
    <w:rPr>
      <w:b/>
      <w:bCs/>
    </w:rPr>
  </w:style>
  <w:style w:type="paragraph" w:styleId="a4">
    <w:name w:val="Normal (Web)"/>
    <w:basedOn w:val="a"/>
    <w:uiPriority w:val="99"/>
    <w:semiHidden/>
    <w:unhideWhenUsed/>
    <w:rsid w:val="005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DNA7 X64</cp:lastModifiedBy>
  <cp:revision>2</cp:revision>
  <dcterms:created xsi:type="dcterms:W3CDTF">2019-08-30T18:51:00Z</dcterms:created>
  <dcterms:modified xsi:type="dcterms:W3CDTF">2019-08-30T18:51:00Z</dcterms:modified>
</cp:coreProperties>
</file>